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5C" w:rsidRDefault="004B5341">
      <w:pPr>
        <w:rPr>
          <w:b/>
          <w:sz w:val="28"/>
          <w:szCs w:val="28"/>
        </w:rPr>
      </w:pPr>
      <w:r w:rsidRPr="004B5341">
        <w:rPr>
          <w:b/>
          <w:sz w:val="28"/>
          <w:szCs w:val="28"/>
        </w:rPr>
        <w:t>Практическое задан</w:t>
      </w:r>
      <w:bookmarkStart w:id="0" w:name="_GoBack"/>
      <w:bookmarkEnd w:id="0"/>
      <w:r w:rsidRPr="004B5341">
        <w:rPr>
          <w:b/>
          <w:sz w:val="28"/>
          <w:szCs w:val="28"/>
        </w:rPr>
        <w:t>ие по теме</w:t>
      </w:r>
      <w:r>
        <w:rPr>
          <w:b/>
          <w:sz w:val="28"/>
          <w:szCs w:val="28"/>
        </w:rPr>
        <w:t xml:space="preserve"> Анализ </w:t>
      </w:r>
      <w:r w:rsidR="00C51C43">
        <w:rPr>
          <w:b/>
          <w:sz w:val="28"/>
          <w:szCs w:val="28"/>
        </w:rPr>
        <w:t>кредитоспособности предприятия и оценка вероятности его банкротства</w:t>
      </w:r>
    </w:p>
    <w:p w:rsidR="004B5341" w:rsidRDefault="00C51C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кредитоспособности организации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Понятие платежеспособность отражает возможность предприятия расплатиться со своими кредиторами. Но если представить себя на месте банка, то в первую очередь вы будете заинтересованы в погашении взятого предприятием кредита. То есть в кредитоспособности предприятия.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кредитования и оформления кредита регулирует банк. При поступлении заявки на получение кредита заемщик обязан предоставить банку ряд документов: отчетность, прогноз прибыли, поступления денежных средств и обосновать потребность в кредите. А банк в свою очередь должен оценить риск не возврата кредита и процентов по нему.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платежеспособность предприятия связана с понятием кредитоспособность – возможность своевременно погашать полученные кредиты.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первом этапе оценки кредитоспособности предприятия банк анализирует аккуратность оплаты счетов, размер и состав имущества заемщика, тенденции развития и репутацию предприятия, причины обращения за кредитом.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втором этапе - оценивается устойчивость финансового состояния, ликвидность, рентабельность, оборачиваемость капитала.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Исходя из проведенного анализа, все </w:t>
      </w:r>
      <w:proofErr w:type="spellStart"/>
      <w:r>
        <w:rPr>
          <w:color w:val="000000"/>
          <w:sz w:val="27"/>
          <w:szCs w:val="27"/>
        </w:rPr>
        <w:t>кредитозаемщики</w:t>
      </w:r>
      <w:proofErr w:type="spellEnd"/>
      <w:r>
        <w:rPr>
          <w:color w:val="000000"/>
          <w:sz w:val="27"/>
          <w:szCs w:val="27"/>
        </w:rPr>
        <w:t xml:space="preserve"> подразделяются на три класса.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класс означает некредитоспособность предприятия, в этом случае коэффициенте текущей ликвидности будет меньше единицы. В этом случае кредит может быть выдан только на особых условиях и под больший процент или в предоставлении кредита может быть отказано.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Второй класс означает умеренную кредитоспособность, при значении коэффициента текущей ликвидности от 1 до 1,5. При получении данных результатов банк имеет возможность предоставить кредит при условии залога имущества, страхования суммы кредита.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Третий класс означает кредитоспособность заемщика, при значении коэффициента текущей ликвидности более 1,5. В этом случае к предприятию, при наличии положительной кредитной истории, могут быть применены льготные условия кредитования.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 этом банк может применить другую методику рассчитать несколько ключевых показателей, присвоить им определенный вес в долях, суммировать и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получить рейтинг. На </w:t>
      </w:r>
      <w:proofErr w:type="gramStart"/>
      <w:r>
        <w:rPr>
          <w:color w:val="000000"/>
          <w:sz w:val="27"/>
          <w:szCs w:val="27"/>
        </w:rPr>
        <w:t>основании</w:t>
      </w:r>
      <w:proofErr w:type="gramEnd"/>
      <w:r>
        <w:rPr>
          <w:color w:val="000000"/>
          <w:sz w:val="27"/>
          <w:szCs w:val="27"/>
        </w:rPr>
        <w:t xml:space="preserve"> которого предприятие будет отнесено к определенному классу кредитования.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11.3. Особенности анализа неплатежеспособных организаций, диагностика банкротства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Слово «банкрот», «банкротство» достаточно часто встречаются в реалиях современной жизни, в кинофильмах, книгах, теленовостях. Волна банкротств, начавшаяся из-за дефолта 1998 года «накрыла» многие предприятия. В результате судебных решений только в 2000 году более 15 000 предприятий были признаны банкротами. На сегодняшний день в стране тоже происходит значительное число банкротств. Для собственников банкротство означает потерю вложенного в предприятие капитала.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Одной из задач финансового анализа является предотвращение угрозы банкротства. Если у предприятия возникают затруднения с платежами, то оно становится ограниченно неплатежеспособным или неплатежеспособным. Неплатежеспособность может быть временной, но может повлечь за собой и стать одной из причин банкротства.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Банкротство - признанная судом или объявленная должником неспособность должника в полном объеме платить по требованиям кредиторов.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Выделают признаки банкротства: приостановление платежей в течение 3 месяцев с момента наступления платежа; если требования к должнику – юридическому лицу в совокупности составляют не менее 100 000 рублей (а к должнику – гражданину не менее 10 000 рублей).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Кризисная ситуация, возникшая на предприятии, может быть вызвана форс-мажорными обстоятельствами, такими как стихийное бедствие, финансовый кризис в стране или неэффективным управлением. Иногда предприятия, в целях </w:t>
      </w:r>
      <w:proofErr w:type="spellStart"/>
      <w:r>
        <w:rPr>
          <w:color w:val="000000"/>
          <w:sz w:val="27"/>
          <w:szCs w:val="27"/>
        </w:rPr>
        <w:t>избежания</w:t>
      </w:r>
      <w:proofErr w:type="spellEnd"/>
      <w:r>
        <w:rPr>
          <w:color w:val="000000"/>
          <w:sz w:val="27"/>
          <w:szCs w:val="27"/>
        </w:rPr>
        <w:t xml:space="preserve"> уплаты долгов, умышленно скрывают имущество и начинают процедуру банкротства.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качестве критерия для признания структуры баланса неудовлетворительной, а предприятия - </w:t>
      </w:r>
      <w:proofErr w:type="gramStart"/>
      <w:r>
        <w:rPr>
          <w:color w:val="000000"/>
          <w:sz w:val="27"/>
          <w:szCs w:val="27"/>
        </w:rPr>
        <w:t>неплатежеспособным</w:t>
      </w:r>
      <w:proofErr w:type="gramEnd"/>
      <w:r>
        <w:rPr>
          <w:color w:val="000000"/>
          <w:sz w:val="27"/>
          <w:szCs w:val="27"/>
        </w:rPr>
        <w:t xml:space="preserve"> применяется любое из условий: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коэффициент текущей ликвидности на конец отчетного периода меньше 2;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коэффициент обеспеченности </w:t>
      </w:r>
      <w:proofErr w:type="gramStart"/>
      <w:r>
        <w:rPr>
          <w:color w:val="000000"/>
          <w:sz w:val="27"/>
          <w:szCs w:val="27"/>
        </w:rPr>
        <w:t>собственным</w:t>
      </w:r>
      <w:proofErr w:type="gramEnd"/>
      <w:r>
        <w:rPr>
          <w:color w:val="000000"/>
          <w:sz w:val="27"/>
          <w:szCs w:val="27"/>
        </w:rPr>
        <w:t xml:space="preserve"> оборотными средствами меньше 0,1.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структура баланса признается по этим показателям </w:t>
      </w:r>
      <w:proofErr w:type="spellStart"/>
      <w:proofErr w:type="gramStart"/>
      <w:r>
        <w:rPr>
          <w:color w:val="000000"/>
          <w:sz w:val="27"/>
          <w:szCs w:val="27"/>
        </w:rPr>
        <w:t>неудовлет-ворительной</w:t>
      </w:r>
      <w:proofErr w:type="spellEnd"/>
      <w:proofErr w:type="gramEnd"/>
      <w:r>
        <w:rPr>
          <w:color w:val="000000"/>
          <w:sz w:val="27"/>
          <w:szCs w:val="27"/>
        </w:rPr>
        <w:t xml:space="preserve">, то рассчитывается коэффициент восстановления </w:t>
      </w:r>
      <w:proofErr w:type="spellStart"/>
      <w:r>
        <w:rPr>
          <w:color w:val="000000"/>
          <w:sz w:val="27"/>
          <w:szCs w:val="27"/>
        </w:rPr>
        <w:t>платежеспособ</w:t>
      </w:r>
      <w:proofErr w:type="spellEnd"/>
      <w:r>
        <w:rPr>
          <w:color w:val="000000"/>
          <w:sz w:val="27"/>
          <w:szCs w:val="27"/>
        </w:rPr>
        <w:t>-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ности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gramStart"/>
      <w:r>
        <w:rPr>
          <w:color w:val="000000"/>
          <w:sz w:val="27"/>
          <w:szCs w:val="27"/>
        </w:rPr>
        <w:t>ближайшие</w:t>
      </w:r>
      <w:proofErr w:type="gramEnd"/>
      <w:r>
        <w:rPr>
          <w:color w:val="000000"/>
          <w:sz w:val="27"/>
          <w:szCs w:val="27"/>
        </w:rPr>
        <w:t xml:space="preserve"> 6 месяцев.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вост. плат. = 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ик. пред. года + 0,5 ∙ (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тек. лик. отчет. года - 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тек. лик. пред. года) / 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тек. лик. нормативный (11.6)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коэффициент восстановления платежеспособности будет больше 1, значит, у предприятия есть возможность восстановить свою платежеспособность, в противном случае такой возможности нет.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коэффициент текущей ликвидности и коэффициент обеспеченности предприятия собственными оборотными средствами соответствуют нормативным значениям, рассчитывают коэффициент утраты платежеспособности.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утраты плат. = 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ик. пред. года + 0,25 ∙ (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тек. лик. отчет. года - 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тек. лик. пред. года) / </w:t>
      </w:r>
      <w:proofErr w:type="spellStart"/>
      <w:r>
        <w:rPr>
          <w:color w:val="000000"/>
          <w:sz w:val="27"/>
          <w:szCs w:val="27"/>
        </w:rPr>
        <w:t>k</w:t>
      </w:r>
      <w:proofErr w:type="spellEnd"/>
      <w:r>
        <w:rPr>
          <w:color w:val="000000"/>
          <w:sz w:val="27"/>
          <w:szCs w:val="27"/>
        </w:rPr>
        <w:t xml:space="preserve"> тек. лик. нормативный (11.7)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Если структура баланса признается удовлетворительной, а коэффициент утраты платежеспособности меньше 1, то можно прогнозировать, что в ближайшие 3 месяца предприятие утратит свою платежеспособность.</w:t>
      </w:r>
      <w:proofErr w:type="gramEnd"/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Рассматривая сложившуюся сейчас ситуацию можно увидеть, что структура баланса многих предприятий неудовлетворительна. Это значит что их финансовое состояние близко к банкротству. И предприятию важно предвидеть наступление такой ситуации. В оценке вероятности банкротства может быть использована двухфакторная модель Альтмана.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 =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+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 ∙ коэффициент текущей ликвидности + Y ∙ удельный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 заемных средств в активах, (11.8)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где а = -0,3877;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 = -1,0736; Y = +0,0579.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при расчете Z&lt;0, то вероятность банкротства невелика; если Z &gt; 0 – наоборот.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эта модель не обеспечивает комплексной оценки финансового положения предприятия. Поэтому зарубежные аналитики чаще используют пятифакторную модель Эдварда Альтмана. Она учитывает влияние нескольких факторов, для ее построения Альтман в 1968 году исследовал в США 33 обанкротившихся фирмы.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= 1,2К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+ 1,4К2 + 3,3К3 +0,6К4 + 0,999К5, (11.9)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Z – показатель уровня угрозы банкротства; К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– доля собственных оборотных средств в активе; К2 – отношение нераспределенной прибыли к активам; К3 – отношение прибыли до налогообложения к сумме активов; К4 – соотношение собственных и заемных средств; К5 – оборачиваемость активов.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Если Z ≤ 1,8 – вероятность банкротства очень высокая;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1,8 &lt; Z ≤ 2,7 – высокая;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2,7 &lt; Z ≤ 2,9 – вероятность невелика;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 &gt; 2,9 – очень низкая вероятность банкротства.</w:t>
      </w:r>
    </w:p>
    <w:p w:rsidR="00C51C43" w:rsidRDefault="00C51C43" w:rsidP="00C51C4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Точность прогноза этой модели в пределах 1 года - 95 %, на 2 года – 83 %. Недостатком модели считается возможность ее применения лишь в отношении крупных компаний, акции которых котируются на бирже.</w:t>
      </w:r>
    </w:p>
    <w:p w:rsidR="00C51C43" w:rsidRDefault="00C51C43">
      <w:pPr>
        <w:rPr>
          <w:b/>
          <w:sz w:val="28"/>
          <w:szCs w:val="28"/>
        </w:rPr>
      </w:pPr>
    </w:p>
    <w:p w:rsidR="00C50A7C" w:rsidRDefault="00C50A7C">
      <w:pPr>
        <w:rPr>
          <w:sz w:val="28"/>
          <w:szCs w:val="28"/>
        </w:rPr>
      </w:pPr>
      <w:r>
        <w:rPr>
          <w:sz w:val="28"/>
          <w:szCs w:val="28"/>
        </w:rPr>
        <w:t>Порядок выполнения работы.</w:t>
      </w:r>
    </w:p>
    <w:p w:rsidR="00C50A7C" w:rsidRPr="00C51C43" w:rsidRDefault="00C51C43" w:rsidP="00C51C43">
      <w:pPr>
        <w:pStyle w:val="a8"/>
        <w:numPr>
          <w:ilvl w:val="0"/>
          <w:numId w:val="8"/>
        </w:numPr>
        <w:rPr>
          <w:sz w:val="28"/>
          <w:szCs w:val="28"/>
        </w:rPr>
      </w:pPr>
      <w:r w:rsidRPr="00C51C43">
        <w:rPr>
          <w:sz w:val="28"/>
          <w:szCs w:val="28"/>
        </w:rPr>
        <w:t>Оцените кредитоспособность предприятия, отнеся его к определенному классу</w:t>
      </w:r>
    </w:p>
    <w:p w:rsidR="00C50A7C" w:rsidRDefault="00C50A7C" w:rsidP="00C50A7C">
      <w:pPr>
        <w:pStyle w:val="a3"/>
        <w:spacing w:line="240" w:lineRule="auto"/>
      </w:pPr>
    </w:p>
    <w:p w:rsidR="00C50A7C" w:rsidRDefault="00C50A7C" w:rsidP="00C50A7C">
      <w:pPr>
        <w:numPr>
          <w:ilvl w:val="0"/>
          <w:numId w:val="8"/>
        </w:num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Оцените </w:t>
      </w:r>
      <w:r w:rsidR="00C51C43">
        <w:rPr>
          <w:b/>
          <w:sz w:val="24"/>
        </w:rPr>
        <w:t>вероятность банкротства предприятия</w:t>
      </w:r>
    </w:p>
    <w:p w:rsidR="004516F7" w:rsidRDefault="004516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43CF" w:rsidRDefault="008543CF">
      <w:pPr>
        <w:rPr>
          <w:sz w:val="28"/>
          <w:szCs w:val="28"/>
        </w:rPr>
      </w:pPr>
    </w:p>
    <w:p w:rsidR="008543CF" w:rsidRDefault="008543CF" w:rsidP="008543CF">
      <w:pPr>
        <w:pStyle w:val="FR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Формы годовой бухгалтерской отчетности</w:t>
      </w:r>
    </w:p>
    <w:p w:rsidR="008543CF" w:rsidRDefault="008543CF" w:rsidP="008543CF">
      <w:pPr>
        <w:pStyle w:val="FR3"/>
        <w:spacing w:line="240" w:lineRule="auto"/>
        <w:ind w:left="0" w:firstLine="0"/>
        <w:rPr>
          <w:rFonts w:ascii="Times New Roman" w:hAnsi="Times New Roman"/>
          <w:sz w:val="32"/>
          <w:u w:val="single"/>
        </w:rPr>
      </w:pPr>
    </w:p>
    <w:p w:rsidR="008543CF" w:rsidRDefault="008543CF" w:rsidP="008543CF">
      <w:pPr>
        <w:pStyle w:val="9"/>
        <w:spacing w:line="240" w:lineRule="auto"/>
      </w:pPr>
      <w:r>
        <w:t>Бухгалтерский баланс</w:t>
      </w:r>
    </w:p>
    <w:p w:rsidR="008543CF" w:rsidRDefault="008543CF" w:rsidP="008543CF">
      <w:pPr>
        <w:rPr>
          <w:rFonts w:ascii="Calibri" w:eastAsia="Calibri" w:hAnsi="Calibri" w:cs="Times New Roman"/>
        </w:rPr>
      </w:pPr>
    </w:p>
    <w:p w:rsidR="008543CF" w:rsidRDefault="008543CF" w:rsidP="008543CF">
      <w:pPr>
        <w:pStyle w:val="FR3"/>
        <w:spacing w:before="0" w:line="240" w:lineRule="auto"/>
        <w:ind w:left="164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на ___________ 200_ г.</w:t>
      </w:r>
    </w:p>
    <w:p w:rsidR="008543CF" w:rsidRDefault="008543CF" w:rsidP="008543CF">
      <w:pPr>
        <w:pStyle w:val="FR3"/>
        <w:spacing w:before="0" w:line="240" w:lineRule="auto"/>
        <w:ind w:left="1640" w:firstLine="0"/>
        <w:rPr>
          <w:rFonts w:ascii="Times New Roman" w:hAnsi="Times New Roman"/>
          <w:sz w:val="24"/>
        </w:rPr>
      </w:pPr>
    </w:p>
    <w:p w:rsidR="008543CF" w:rsidRDefault="008543CF" w:rsidP="008543CF">
      <w:pPr>
        <w:jc w:val="right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i/>
          <w:sz w:val="24"/>
        </w:rPr>
        <w:t>Форма № 1</w:t>
      </w:r>
    </w:p>
    <w:p w:rsidR="008543CF" w:rsidRDefault="008543CF" w:rsidP="008543C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Организация: ОАО «КСМ»</w:t>
      </w:r>
    </w:p>
    <w:p w:rsidR="008543CF" w:rsidRDefault="008543CF" w:rsidP="008543CF">
      <w:pPr>
        <w:pBdr>
          <w:top w:val="single" w:sz="6" w:space="4" w:color="auto"/>
        </w:pBdr>
        <w:spacing w:before="160" w:after="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Единица измерения: </w:t>
      </w:r>
      <w:r>
        <w:rPr>
          <w:rFonts w:ascii="Calibri" w:eastAsia="Calibri" w:hAnsi="Calibri" w:cs="Times New Roman"/>
          <w:i/>
        </w:rPr>
        <w:t>тыс. руб.</w:t>
      </w:r>
      <w:r>
        <w:rPr>
          <w:rFonts w:ascii="Calibri" w:eastAsia="Calibri" w:hAnsi="Calibri" w:cs="Times New Roman"/>
        </w:rPr>
        <w:t xml:space="preserve"> </w:t>
      </w:r>
    </w:p>
    <w:p w:rsidR="008543CF" w:rsidRDefault="008543CF" w:rsidP="008543CF">
      <w:pPr>
        <w:pBdr>
          <w:top w:val="single" w:sz="6" w:space="4" w:color="auto"/>
        </w:pBdr>
        <w:spacing w:before="160" w:after="40"/>
        <w:rPr>
          <w:rFonts w:ascii="Calibri" w:eastAsia="Calibri" w:hAnsi="Calibri" w:cs="Times New Roman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850"/>
        <w:gridCol w:w="1701"/>
        <w:gridCol w:w="1701"/>
      </w:tblGrid>
      <w:tr w:rsidR="008543CF" w:rsidTr="00765809">
        <w:trPr>
          <w:cantSplit/>
          <w:trHeight w:hRule="exact" w:val="5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Актив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Код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строки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начало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отчетного периода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конец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отчетного периода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2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2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I. ВНЕОБОРОТНЫЕ АКТИВЫ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Нематериальные активы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Основные средства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7565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7519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Незавершенное строительство </w:t>
            </w:r>
          </w:p>
          <w:p w:rsidR="008543CF" w:rsidRDefault="008543CF" w:rsidP="0076580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</w:t>
            </w: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1910</w:t>
            </w: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2300</w:t>
            </w: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Доходные вложения в материальные ценности </w:t>
            </w:r>
          </w:p>
          <w:p w:rsidR="008543CF" w:rsidRDefault="008543CF" w:rsidP="00765809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</w:t>
            </w: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Долгосрочные финансовые вложения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198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Отложенные налоговые активы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Прочие </w:t>
            </w:r>
            <w:proofErr w:type="spellStart"/>
            <w:r>
              <w:rPr>
                <w:rFonts w:ascii="Calibri" w:eastAsia="Calibri" w:hAnsi="Calibri" w:cs="Times New Roman"/>
              </w:rPr>
              <w:t>внеоборотные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активы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174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ИТОГО по разделу I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9705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10040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II</w:t>
            </w:r>
            <w:r>
              <w:rPr>
                <w:rFonts w:ascii="Calibri" w:eastAsia="Calibri" w:hAnsi="Calibri" w:cs="Times New Roman"/>
                <w:b/>
              </w:rPr>
              <w:t>. ОБОРОТНЫЕ АКТИВЫ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543CF" w:rsidTr="00765809">
        <w:trPr>
          <w:trHeight w:hRule="exact" w:val="3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Запасы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688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1992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6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pStyle w:val="21"/>
              <w:tabs>
                <w:tab w:val="left" w:pos="953"/>
              </w:tabs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               в том числе: </w:t>
            </w:r>
          </w:p>
          <w:p w:rsidR="008543CF" w:rsidRDefault="008543CF" w:rsidP="00765809">
            <w:pPr>
              <w:tabs>
                <w:tab w:val="left" w:pos="953"/>
              </w:tabs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сырье, материалы и другие анало</w:t>
            </w:r>
            <w:r>
              <w:rPr>
                <w:rFonts w:ascii="Calibri" w:eastAsia="Calibri" w:hAnsi="Calibri" w:cs="Times New Roman"/>
              </w:rPr>
              <w:softHyphen/>
              <w:t xml:space="preserve">гичные ценности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Pr="004007B7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531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1359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животные на выращивании и от</w:t>
            </w:r>
            <w:r>
              <w:rPr>
                <w:rFonts w:ascii="Calibri" w:eastAsia="Calibri" w:hAnsi="Calibri" w:cs="Times New Roman"/>
              </w:rPr>
              <w:softHyphen/>
              <w:t xml:space="preserve">корме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затраты в незавершенном произ</w:t>
            </w:r>
            <w:r>
              <w:rPr>
                <w:rFonts w:ascii="Calibri" w:eastAsia="Calibri" w:hAnsi="Calibri" w:cs="Times New Roman"/>
              </w:rPr>
              <w:softHyphen/>
              <w:t xml:space="preserve">водстве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готовая продукция и товары для перепродажи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134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596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товары отгруженные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расходы будущих периодов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прочие запасы и затраты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56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Налог на добавленную стоимость по приобретенным ценностям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331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57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Дебиторская задолженность (плате</w:t>
            </w:r>
            <w:r>
              <w:rPr>
                <w:rFonts w:ascii="Calibri" w:eastAsia="Calibri" w:hAnsi="Calibri" w:cs="Times New Roman"/>
              </w:rPr>
              <w:softHyphen/>
              <w:t>жи по которой ожидаются более чем через 12 месяцев после отчет</w:t>
            </w:r>
            <w:r>
              <w:rPr>
                <w:rFonts w:ascii="Calibri" w:eastAsia="Calibri" w:hAnsi="Calibri" w:cs="Times New Roman"/>
              </w:rPr>
              <w:softHyphen/>
              <w:t>ной даты)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pStyle w:val="21"/>
              <w:tabs>
                <w:tab w:val="left" w:pos="811"/>
              </w:tabs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   в том числе покупатели и заказчики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5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Дебиторская задолженность (плате</w:t>
            </w:r>
            <w:r>
              <w:rPr>
                <w:rFonts w:ascii="Calibri" w:eastAsia="Calibri" w:hAnsi="Calibri" w:cs="Times New Roman"/>
              </w:rPr>
              <w:softHyphen/>
              <w:t>жи по которой ожидаются в тече</w:t>
            </w:r>
            <w:r>
              <w:rPr>
                <w:rFonts w:ascii="Calibri" w:eastAsia="Calibri" w:hAnsi="Calibri" w:cs="Times New Roman"/>
              </w:rPr>
              <w:softHyphen/>
              <w:t>ние 12 месяцев после отчетной даты)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309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 w:rsidRPr="004007B7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 xml:space="preserve">в том числе  покупатели и заказчики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Pr="004007B7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258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Краткосрочные финансовые вложе</w:t>
            </w:r>
            <w:r>
              <w:rPr>
                <w:rFonts w:ascii="Calibri" w:eastAsia="Calibri" w:hAnsi="Calibri" w:cs="Times New Roman"/>
              </w:rPr>
              <w:softHyphen/>
              <w:t xml:space="preserve">ния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Денежные средства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139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Прочие оборотные активы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 xml:space="preserve">ИТОГО по разделу </w:t>
            </w:r>
            <w:r>
              <w:rPr>
                <w:rFonts w:ascii="Calibri" w:eastAsia="Calibri" w:hAnsi="Calibri" w:cs="Times New Roman"/>
                <w:lang w:val="en-US"/>
              </w:rPr>
              <w:t>II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1053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2908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4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ind w:right="20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БАЛАНС </w:t>
            </w:r>
          </w:p>
          <w:p w:rsidR="008543CF" w:rsidRDefault="008543CF" w:rsidP="00765809">
            <w:pPr>
              <w:spacing w:before="40"/>
              <w:ind w:right="600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300</w:t>
            </w:r>
          </w:p>
          <w:p w:rsidR="008543CF" w:rsidRDefault="008543CF" w:rsidP="00765809">
            <w:pPr>
              <w:spacing w:before="40"/>
              <w:ind w:left="16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10758</w:t>
            </w:r>
          </w:p>
          <w:p w:rsidR="008543CF" w:rsidRDefault="008543CF" w:rsidP="00765809">
            <w:pPr>
              <w:spacing w:before="40"/>
              <w:ind w:left="5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12948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543CF" w:rsidTr="00765809">
        <w:trPr>
          <w:cantSplit/>
          <w:trHeight w:hRule="exact" w:val="6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ind w:right="20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Пассив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 конец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отчетного периода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III</w:t>
            </w:r>
            <w:r>
              <w:rPr>
                <w:rFonts w:ascii="Calibri" w:eastAsia="Calibri" w:hAnsi="Calibri" w:cs="Times New Roman"/>
                <w:b/>
              </w:rPr>
              <w:t>. Капитал и резервы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2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Уставный капитал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3467</w:t>
            </w:r>
          </w:p>
        </w:tc>
      </w:tr>
      <w:tr w:rsidR="008543CF" w:rsidTr="00765809">
        <w:trPr>
          <w:trHeight w:hRule="exact" w:val="2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Собственные акции, выкупленные у акционеров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                          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                         )</w:t>
            </w:r>
          </w:p>
        </w:tc>
      </w:tr>
      <w:tr w:rsidR="008543CF" w:rsidTr="00765809">
        <w:trPr>
          <w:trHeight w:hRule="exact" w:val="2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Добавочный капитал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5821</w:t>
            </w:r>
          </w:p>
        </w:tc>
      </w:tr>
      <w:tr w:rsidR="008543CF" w:rsidTr="00765809">
        <w:trPr>
          <w:trHeight w:hRule="exact" w:val="2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Резервный капитал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5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pStyle w:val="a5"/>
              <w:tabs>
                <w:tab w:val="left" w:pos="953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в том числе:</w:t>
            </w:r>
          </w:p>
          <w:p w:rsidR="008543CF" w:rsidRDefault="008543CF" w:rsidP="00765809">
            <w:pPr>
              <w:pStyle w:val="a5"/>
              <w:tabs>
                <w:tab w:val="left" w:pos="953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резервы, образованные в соответст</w:t>
            </w:r>
            <w:r>
              <w:rPr>
                <w:rFonts w:ascii="Calibri" w:eastAsia="Calibri" w:hAnsi="Calibri" w:cs="Times New Roman"/>
              </w:rPr>
              <w:softHyphen/>
              <w:t>вии с законодательством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Pr="004007B7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431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5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резервы, образованные в соответст</w:t>
            </w:r>
            <w:r>
              <w:rPr>
                <w:rFonts w:ascii="Calibri" w:eastAsia="Calibri" w:hAnsi="Calibri" w:cs="Times New Roman"/>
              </w:rPr>
              <w:softHyphen/>
              <w:t>вии с учредительными документами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432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Нераспределенная прибыль отчетно</w:t>
            </w:r>
            <w:r>
              <w:rPr>
                <w:rFonts w:ascii="Calibri" w:eastAsia="Calibri" w:hAnsi="Calibri" w:cs="Times New Roman"/>
              </w:rPr>
              <w:softHyphen/>
              <w:t>го года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1106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ИТОГ'0 по разделу </w:t>
            </w:r>
            <w:proofErr w:type="gramStart"/>
            <w:r>
              <w:rPr>
                <w:rFonts w:ascii="Calibri" w:eastAsia="Calibri" w:hAnsi="Calibri" w:cs="Times New Roman"/>
              </w:rPr>
              <w:t>Ш</w:t>
            </w:r>
            <w:proofErr w:type="gramEnd"/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10067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10413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IV. ДОЛГОСРОЧНЫЕ ОБЯЗА</w:t>
            </w:r>
            <w:r>
              <w:rPr>
                <w:rFonts w:ascii="Calibri" w:eastAsia="Calibri" w:hAnsi="Calibri" w:cs="Times New Roman"/>
                <w:b/>
              </w:rPr>
              <w:softHyphen/>
              <w:t>ТЕЛЬСТВА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Займы и кредиты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2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Отложенные налоговые обязательства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515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Прочие долгосрочные обязательства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 по разделу IV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V. КРАТКОСРОЧНЫЕ ОБЯЗА</w:t>
            </w:r>
            <w:r>
              <w:rPr>
                <w:rFonts w:ascii="Calibri" w:eastAsia="Calibri" w:hAnsi="Calibri" w:cs="Times New Roman"/>
                <w:b/>
              </w:rPr>
              <w:softHyphen/>
              <w:t>ТЕЛЬСТВА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pStyle w:val="a5"/>
              <w:spacing w:before="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Займы и кредиты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Кредиторская задолженность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496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1430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trHeight w:hRule="exact" w:val="61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Pr="004007B7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 w:rsidRPr="004007B7">
              <w:rPr>
                <w:rFonts w:ascii="Calibri" w:eastAsia="Calibri" w:hAnsi="Calibri" w:cs="Times New Roman"/>
              </w:rPr>
              <w:t xml:space="preserve">           </w:t>
            </w:r>
            <w:r>
              <w:rPr>
                <w:rFonts w:ascii="Calibri" w:eastAsia="Calibri" w:hAnsi="Calibri" w:cs="Times New Roman"/>
              </w:rPr>
              <w:t xml:space="preserve">в том числе: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поставщики и подрядчики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Pr="004007B7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784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задолженность перед персоналом организации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 xml:space="preserve">73 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5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pStyle w:val="21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задолженность перед государст</w:t>
            </w:r>
            <w:r>
              <w:rPr>
                <w:rFonts w:ascii="Calibri" w:eastAsia="Calibri" w:hAnsi="Calibri" w:cs="Times New Roman"/>
                <w:sz w:val="20"/>
              </w:rPr>
              <w:softHyphen/>
              <w:t xml:space="preserve">венными внебюджетными фондами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 xml:space="preserve">27 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задолженность по налогам и сборам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прочие кредиторы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460</w:t>
            </w:r>
          </w:p>
        </w:tc>
      </w:tr>
      <w:tr w:rsidR="008543CF" w:rsidTr="00765809">
        <w:trPr>
          <w:cantSplit/>
          <w:trHeight w:hRule="exact" w:val="5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Задолженность участникам (учреди</w:t>
            </w:r>
            <w:r>
              <w:rPr>
                <w:rFonts w:ascii="Calibri" w:eastAsia="Calibri" w:hAnsi="Calibri" w:cs="Times New Roman"/>
              </w:rPr>
              <w:softHyphen/>
              <w:t xml:space="preserve">телям) по выплате доходов 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Доходы будущих периодов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640 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24 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Резервы предстоящих расходов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Прочие краткосрочные обязательст</w:t>
            </w:r>
            <w:r>
              <w:rPr>
                <w:rFonts w:ascii="Calibri" w:eastAsia="Calibri" w:hAnsi="Calibri" w:cs="Times New Roman"/>
              </w:rPr>
              <w:softHyphen/>
              <w:t>ва</w:t>
            </w:r>
          </w:p>
          <w:p w:rsidR="008543CF" w:rsidRDefault="008543CF" w:rsidP="00765809">
            <w:pPr>
              <w:spacing w:before="4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660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8543CF" w:rsidRDefault="008543CF" w:rsidP="00765809">
            <w:pPr>
              <w:spacing w:before="4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ИТОГО по разделу V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541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1995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543CF" w:rsidTr="00765809">
        <w:trPr>
          <w:cantSplit/>
          <w:trHeight w:hRule="exact" w:val="3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БАЛАНС </w:t>
            </w:r>
          </w:p>
          <w:p w:rsidR="008543CF" w:rsidRDefault="008543CF" w:rsidP="00765809">
            <w:pPr>
              <w:spacing w:before="20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700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10758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12948</w:t>
            </w:r>
          </w:p>
          <w:p w:rsidR="008543CF" w:rsidRDefault="008543CF" w:rsidP="00765809">
            <w:pPr>
              <w:spacing w:before="2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543CF" w:rsidRDefault="008543CF" w:rsidP="008543CF">
      <w:pPr>
        <w:jc w:val="center"/>
        <w:rPr>
          <w:rFonts w:ascii="Calibri" w:eastAsia="Calibri" w:hAnsi="Calibri" w:cs="Times New Roman"/>
          <w:sz w:val="24"/>
        </w:rPr>
      </w:pPr>
    </w:p>
    <w:p w:rsidR="008543CF" w:rsidRDefault="008543CF" w:rsidP="008543CF">
      <w:pPr>
        <w:jc w:val="center"/>
        <w:rPr>
          <w:rFonts w:ascii="Calibri" w:eastAsia="Calibri" w:hAnsi="Calibri" w:cs="Times New Roman"/>
          <w:sz w:val="24"/>
        </w:rPr>
      </w:pPr>
    </w:p>
    <w:p w:rsidR="008543CF" w:rsidRDefault="008543CF" w:rsidP="008543CF">
      <w:pPr>
        <w:rPr>
          <w:rFonts w:ascii="Calibri" w:eastAsia="Calibri" w:hAnsi="Calibri" w:cs="Times New Roman"/>
        </w:rPr>
      </w:pPr>
    </w:p>
    <w:p w:rsidR="00C50A7C" w:rsidRPr="004B5341" w:rsidRDefault="00C50A7C">
      <w:pPr>
        <w:rPr>
          <w:sz w:val="28"/>
          <w:szCs w:val="28"/>
        </w:rPr>
      </w:pPr>
    </w:p>
    <w:sectPr w:rsidR="00C50A7C" w:rsidRPr="004B5341" w:rsidSect="006F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9BB"/>
    <w:multiLevelType w:val="hybridMultilevel"/>
    <w:tmpl w:val="809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B4D4B"/>
    <w:multiLevelType w:val="hybridMultilevel"/>
    <w:tmpl w:val="F9B2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12C5D"/>
    <w:multiLevelType w:val="hybridMultilevel"/>
    <w:tmpl w:val="6F9AF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F4C08"/>
    <w:multiLevelType w:val="singleLevel"/>
    <w:tmpl w:val="0582AD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4">
    <w:nsid w:val="246734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CE4F17"/>
    <w:multiLevelType w:val="singleLevel"/>
    <w:tmpl w:val="C6ECDB6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44455FA7"/>
    <w:multiLevelType w:val="hybridMultilevel"/>
    <w:tmpl w:val="ACB67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B173E"/>
    <w:multiLevelType w:val="hybridMultilevel"/>
    <w:tmpl w:val="D7102016"/>
    <w:lvl w:ilvl="0" w:tplc="FFFFFFF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D5C2409"/>
    <w:multiLevelType w:val="hybridMultilevel"/>
    <w:tmpl w:val="72B4E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C69DC"/>
    <w:multiLevelType w:val="singleLevel"/>
    <w:tmpl w:val="0582AD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5341"/>
    <w:rsid w:val="001F2E34"/>
    <w:rsid w:val="004516F7"/>
    <w:rsid w:val="004B5341"/>
    <w:rsid w:val="004D7B5E"/>
    <w:rsid w:val="006F0D5C"/>
    <w:rsid w:val="008543CF"/>
    <w:rsid w:val="00C50A7C"/>
    <w:rsid w:val="00C51C43"/>
    <w:rsid w:val="00FD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5C"/>
  </w:style>
  <w:style w:type="paragraph" w:styleId="5">
    <w:name w:val="heading 5"/>
    <w:basedOn w:val="a"/>
    <w:next w:val="a"/>
    <w:link w:val="50"/>
    <w:qFormat/>
    <w:rsid w:val="004B5341"/>
    <w:pPr>
      <w:keepNext/>
      <w:spacing w:after="0" w:line="360" w:lineRule="auto"/>
      <w:ind w:firstLine="284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4B534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4B5341"/>
    <w:pPr>
      <w:keepNext/>
      <w:spacing w:after="0" w:line="360" w:lineRule="auto"/>
      <w:ind w:left="284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B5341"/>
    <w:pPr>
      <w:keepNext/>
      <w:spacing w:after="0" w:line="360" w:lineRule="auto"/>
      <w:ind w:firstLine="284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5341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5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B53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5341"/>
  </w:style>
  <w:style w:type="paragraph" w:styleId="2">
    <w:name w:val="Body Text Indent 2"/>
    <w:basedOn w:val="a"/>
    <w:link w:val="20"/>
    <w:uiPriority w:val="99"/>
    <w:semiHidden/>
    <w:unhideWhenUsed/>
    <w:rsid w:val="004B53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5341"/>
  </w:style>
  <w:style w:type="character" w:customStyle="1" w:styleId="50">
    <w:name w:val="Заголовок 5 Знак"/>
    <w:basedOn w:val="a0"/>
    <w:link w:val="5"/>
    <w:rsid w:val="004B534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B534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4B5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53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43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43CF"/>
  </w:style>
  <w:style w:type="paragraph" w:styleId="a5">
    <w:name w:val="Body Text"/>
    <w:basedOn w:val="a"/>
    <w:link w:val="a6"/>
    <w:uiPriority w:val="99"/>
    <w:semiHidden/>
    <w:unhideWhenUsed/>
    <w:rsid w:val="008543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543CF"/>
  </w:style>
  <w:style w:type="paragraph" w:customStyle="1" w:styleId="FR3">
    <w:name w:val="FR3"/>
    <w:rsid w:val="008543CF"/>
    <w:pPr>
      <w:widowControl w:val="0"/>
      <w:autoSpaceDE w:val="0"/>
      <w:autoSpaceDN w:val="0"/>
      <w:adjustRightInd w:val="0"/>
      <w:spacing w:before="260" w:after="0" w:line="260" w:lineRule="auto"/>
      <w:ind w:left="440" w:hanging="30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5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1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2020-04-04T16:21:00Z</dcterms:created>
  <dcterms:modified xsi:type="dcterms:W3CDTF">2020-04-04T16:21:00Z</dcterms:modified>
</cp:coreProperties>
</file>