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F0" w:rsidRPr="000331E0" w:rsidRDefault="007624F0" w:rsidP="007624F0">
      <w:pPr>
        <w:pStyle w:val="2"/>
        <w:ind w:firstLine="0"/>
        <w:jc w:val="center"/>
        <w:rPr>
          <w:b/>
          <w:szCs w:val="24"/>
        </w:rPr>
      </w:pPr>
      <w:bookmarkStart w:id="0" w:name="_Toc494985520"/>
      <w:r>
        <w:rPr>
          <w:b/>
          <w:szCs w:val="24"/>
        </w:rPr>
        <w:t>Экономика России</w:t>
      </w:r>
    </w:p>
    <w:bookmarkEnd w:id="0"/>
    <w:p w:rsidR="007624F0" w:rsidRPr="000331E0" w:rsidRDefault="007624F0" w:rsidP="007624F0">
      <w:pPr>
        <w:pStyle w:val="a3"/>
        <w:spacing w:line="240" w:lineRule="auto"/>
        <w:ind w:firstLine="0"/>
        <w:rPr>
          <w:b/>
          <w:bCs/>
          <w:iCs/>
          <w:sz w:val="24"/>
          <w:szCs w:val="24"/>
        </w:rPr>
      </w:pPr>
      <w:r w:rsidRPr="000331E0">
        <w:rPr>
          <w:b/>
          <w:bCs/>
          <w:iCs/>
          <w:sz w:val="24"/>
          <w:szCs w:val="24"/>
        </w:rPr>
        <w:t>Контрольная работа для студентов заочной формы обучения</w:t>
      </w:r>
    </w:p>
    <w:p w:rsidR="007624F0" w:rsidRPr="000331E0" w:rsidRDefault="007624F0" w:rsidP="007624F0">
      <w:pPr>
        <w:pStyle w:val="a3"/>
        <w:spacing w:line="240" w:lineRule="auto"/>
        <w:ind w:firstLine="397"/>
        <w:rPr>
          <w:i/>
          <w:sz w:val="24"/>
          <w:szCs w:val="24"/>
        </w:rPr>
      </w:pPr>
    </w:p>
    <w:p w:rsidR="007624F0" w:rsidRPr="000331E0" w:rsidRDefault="007624F0" w:rsidP="007624F0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Методические у</w:t>
      </w:r>
      <w:r w:rsidRPr="000331E0">
        <w:rPr>
          <w:sz w:val="24"/>
          <w:szCs w:val="24"/>
        </w:rPr>
        <w:t xml:space="preserve">казания к выполнению </w:t>
      </w:r>
    </w:p>
    <w:p w:rsidR="007624F0" w:rsidRDefault="007624F0" w:rsidP="009833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335D" w:rsidRPr="005F4DE0" w:rsidRDefault="0098335D" w:rsidP="009833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35D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по курсу «</w:t>
      </w:r>
      <w:r>
        <w:rPr>
          <w:rFonts w:ascii="Times New Roman" w:hAnsi="Times New Roman" w:cs="Times New Roman"/>
          <w:sz w:val="24"/>
          <w:szCs w:val="24"/>
        </w:rPr>
        <w:t>Экономика России</w:t>
      </w:r>
      <w:r w:rsidRPr="0098335D">
        <w:rPr>
          <w:rFonts w:ascii="Times New Roman" w:eastAsia="Times New Roman" w:hAnsi="Times New Roman" w:cs="Times New Roman"/>
          <w:sz w:val="24"/>
          <w:szCs w:val="24"/>
        </w:rPr>
        <w:t>» обучающийся выполняет одну контрольную работу</w:t>
      </w:r>
      <w:r w:rsidR="00DB1EE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3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пределах группы вопросы не должны повторяться</w:t>
      </w:r>
      <w:r w:rsidRPr="005F4DE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 сдается в </w:t>
      </w:r>
      <w:r w:rsidR="00C86451">
        <w:rPr>
          <w:rFonts w:ascii="Times New Roman" w:eastAsia="Times New Roman" w:hAnsi="Times New Roman" w:cs="Times New Roman"/>
          <w:sz w:val="24"/>
          <w:szCs w:val="24"/>
        </w:rPr>
        <w:t>печатном виде</w:t>
      </w:r>
      <w:r>
        <w:rPr>
          <w:rFonts w:ascii="Times New Roman" w:eastAsia="Times New Roman" w:hAnsi="Times New Roman" w:cs="Times New Roman"/>
          <w:sz w:val="24"/>
          <w:szCs w:val="24"/>
        </w:rPr>
        <w:t>, оформленная согласно установленным требованиям.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Контрольная работа – письменная работа небольшого объема, предполагающая проверку знаний заданного к изучению материала и навыков его практического применения. Тема контрольной работы выбирается обучающимся на основе утвержденных кафедрой примерных перечней тем по дисциплине.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Контрольная работа имеет следующую структуру: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- оглавление;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- текст работы, структурированный по пунктам;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- список источников;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- приложения (при необходимости).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 xml:space="preserve">Общий объем контрольной работы не должен превышать 15-17 страниц. Работа должна быть напечатана на одной стороне листа белой бумаги форматом А4. Рекомендуемый шрифт </w:t>
      </w:r>
      <w:proofErr w:type="spellStart"/>
      <w:r w:rsidRPr="00C8645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86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4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86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45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86451">
        <w:rPr>
          <w:rFonts w:ascii="Times New Roman" w:hAnsi="Times New Roman" w:cs="Times New Roman"/>
          <w:sz w:val="24"/>
          <w:szCs w:val="24"/>
        </w:rPr>
        <w:t>, размер 14, межстрочный интервал - 1,5.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Текст работы следует печатать, соблюдая следующие размеры полей: левое - 30 мм, правое - 10 мм, верхнее - 20 мм, нижнее - 20 мм. Режим выравнивания -  по ширине.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Титульный лист работы должен содержать полное наименование вуза, название подразделения (факультет, кафедра), в котором выполнена работа, название темы, фамилию, имя, отчество автора, фамилию, инициалы и ученую степень (звание) научного руководителя, наименование места и год выполнения.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Оглавление представляет собой составленный в последовательном порядке список всех заголовков разделов работы с указанием страниц, на которых соответствующий раздел начинается.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Перечень условных сокращени</w:t>
      </w:r>
      <w:r w:rsidR="00C86451">
        <w:rPr>
          <w:rFonts w:ascii="Times New Roman" w:hAnsi="Times New Roman" w:cs="Times New Roman"/>
          <w:sz w:val="24"/>
          <w:szCs w:val="24"/>
        </w:rPr>
        <w:t>й</w:t>
      </w:r>
      <w:r w:rsidRPr="00C86451">
        <w:rPr>
          <w:rFonts w:ascii="Times New Roman" w:hAnsi="Times New Roman" w:cs="Times New Roman"/>
          <w:sz w:val="24"/>
          <w:szCs w:val="24"/>
        </w:rPr>
        <w:t>, условные обозначения, символы, единицы и специфические термины должны быть представлены в виде отдельного перечня. Перечень должен располагаться столбцом, в котором слева в алфавитном порядке приводятся элементы перечня, справа — их детальная расшифровка.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Введение. Во введении контрольной работы (рекомендуемый объем не более 2-3 страниц) — дается обоснование выбора темы, характеризуется ее актуальность и степень научной разработки, общая оценка исследуемой проблемы, формируются цели и задачи исследования, перечисляются подходы и методы анализа, обоснование необходимости разработки темы.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Основная часть. Основная часть контрольной работы должна быть представлена главами или разделами (не более трех), которые могут быть разбиты на параграфы.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Все части контрольной работы должны быть изложены в строгой логической последовательности и взаимосвязи. Каждая глава, раздел должны иметь определенное целевое назначение и является базой для последующего изложения. В конце каждой главы или раздела должны быть сформулированы краткие выводы, вытекающие их текста.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Заключение. Заключение содержит в сжатой форме как теоретические выводы, так и практические предложения, к которым пришел обучающийся в результате выполнения контрольной работы. Они должны быть краткими, конкретными, вытекать из существа работы и отражать предмет защиты. Объем заключения - до 2-х страниц.</w:t>
      </w:r>
    </w:p>
    <w:p w:rsidR="00A01D71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 должен содержать перечень источников информации, используемых при выполнении контрольной работы, и их библиографическое описание, располагаемые в алфавитном порядке. В контрольной работе необходимо использовать не менее 5 источников.</w:t>
      </w:r>
    </w:p>
    <w:p w:rsidR="00A01D7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Приложения. Приложения должны включать вспомогательный или дополнительный материал, который загромождает текст основной части работы, но необходим для полноты ее восприятия и оценки практической значимости (копии документов, таблицы вспомогательных и цифровых данных, иллюстрации и т.д.).</w:t>
      </w:r>
    </w:p>
    <w:p w:rsidR="00C86451" w:rsidRDefault="00C8645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5D">
        <w:rPr>
          <w:rFonts w:ascii="Times New Roman" w:eastAsia="Times New Roman" w:hAnsi="Times New Roman" w:cs="Times New Roman"/>
          <w:sz w:val="24"/>
          <w:szCs w:val="24"/>
        </w:rPr>
        <w:t>Все приведенные в контрольной работе определения, цитаты, мнения различных авторов должны сопровождаться ссылками на первоисточник. Ссылки могут быть приведены либо в конце страницы под чертой, либо в процессе изложения  материала в квадратных скобках с указание номера источника информации по списку и номера страницы. Например: [5, с.10].</w:t>
      </w:r>
    </w:p>
    <w:p w:rsidR="00C86451" w:rsidRPr="00C86451" w:rsidRDefault="00C8645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5D">
        <w:rPr>
          <w:rFonts w:ascii="Times New Roman" w:eastAsia="Times New Roman" w:hAnsi="Times New Roman" w:cs="Times New Roman"/>
          <w:sz w:val="24"/>
          <w:szCs w:val="24"/>
        </w:rPr>
        <w:t xml:space="preserve">Выполненная контрольная работа направляется на проверку преподавателю, по результатам которой работа может быть зачтена или не зачтена. Если работа не зачтена, то она возвращается студенту на доработку. </w:t>
      </w:r>
    </w:p>
    <w:p w:rsidR="00000000" w:rsidRPr="00C86451" w:rsidRDefault="00A01D71" w:rsidP="00C8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451">
        <w:rPr>
          <w:rFonts w:ascii="Times New Roman" w:hAnsi="Times New Roman" w:cs="Times New Roman"/>
          <w:sz w:val="24"/>
          <w:szCs w:val="24"/>
        </w:rPr>
        <w:t>Защита контрольной работы состоит из доклада обучающегося и ответов на поставленные преподавателем вопросы.</w:t>
      </w:r>
    </w:p>
    <w:p w:rsidR="00DB1EEB" w:rsidRDefault="00DB1EEB" w:rsidP="00DB1EEB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EB">
        <w:rPr>
          <w:rFonts w:ascii="Times New Roman" w:hAnsi="Times New Roman" w:cs="Times New Roman"/>
          <w:b/>
          <w:sz w:val="24"/>
          <w:szCs w:val="24"/>
        </w:rPr>
        <w:t>Темы контрольных работ</w:t>
      </w:r>
    </w:p>
    <w:p w:rsidR="007624F0" w:rsidRDefault="007624F0" w:rsidP="007624F0">
      <w:pPr>
        <w:widowControl w:val="0"/>
        <w:shd w:val="clear" w:color="auto" w:fill="FFFFFF"/>
        <w:ind w:left="360"/>
        <w:jc w:val="center"/>
        <w:rPr>
          <w:rFonts w:ascii="Times New Roman" w:hAnsi="Times New Roman" w:cs="Times New Roman"/>
        </w:rPr>
      </w:pPr>
      <w:r w:rsidRPr="007624F0">
        <w:rPr>
          <w:rFonts w:ascii="Times New Roman" w:eastAsia="Times New Roman" w:hAnsi="Times New Roman" w:cs="Times New Roman"/>
          <w:i/>
        </w:rPr>
        <w:t>Тема выбирается по номеру в списке группы.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hAnsi="Times New Roman" w:cs="Times New Roman"/>
          <w:bCs/>
          <w:sz w:val="24"/>
          <w:szCs w:val="24"/>
        </w:rPr>
        <w:t>Понятие «экономико-географическое положение» и его аспекты: транспортно-географическое, соседское, приморское, пограничное и т.д., «геополитическое полож</w:t>
      </w: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ение» (политико-географическое и военно-стратегическое).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Сухопутные и морские границы России с точки зрения международных политических отношений, внешних торговых связей, экономической интеграции и обороны. Анализ экономико-географического и геополитического положения России в историческом разрезе.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Административно-территориальное деление России как фактор, влияющий на территориальную организацию экономики.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Понятие «федеративная республика». Анализ и оценка административно-территориального деления России и изменения, осуществляемые в ходе административной реформы. Создание федеральных округов и их назначение.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Понятие закономерностей РПС, их объективный характер. Закономерности размещения как территориальные формы проявления экономических законов: экономическая эффективность, пропорциональность, комплексность, развитие территориального разделения труда.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Факторы развития и размещения как важное условие РПС. Факторы ограничения, активизации, инерционности, динамичности, </w:t>
      </w:r>
      <w:proofErr w:type="spellStart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многоаспектные</w:t>
      </w:r>
      <w:proofErr w:type="spellEnd"/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 факторы. Типология факторов: технико-экономические, природные, социально-экономические, демографические и др.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Принципы РПС как основные правила долгосрочной политики. Трансформация принципов в условиях рыночной экономики.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Роль российских и зарубежных ученых в развитии теории размещения производительных сил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Национальное богатство. Структура национального богатства. Источники национального богатства.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Модель межотраслевого баланса национальной экономики. Статистика национального богатства.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Подходы и показатели измерения национального богатства. Факторы и способы накопления национального богатства.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Макроэкономические показатели. </w:t>
      </w:r>
      <w:proofErr w:type="spellStart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Валовый</w:t>
      </w:r>
      <w:proofErr w:type="spellEnd"/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 национальный продукт. </w:t>
      </w:r>
      <w:proofErr w:type="spellStart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Валовый</w:t>
      </w:r>
      <w:proofErr w:type="spellEnd"/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 внутренний продукт. Метод добавленной стоимости. Метод расчета по расходам (производственный). Метода расчета по доходам (распределительный). Чистый национальный продукт. </w:t>
      </w:r>
      <w:proofErr w:type="spellStart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Валовый</w:t>
      </w:r>
      <w:proofErr w:type="spellEnd"/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 национальный доход. </w:t>
      </w:r>
      <w:proofErr w:type="spellStart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Валовый</w:t>
      </w:r>
      <w:proofErr w:type="spellEnd"/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 национальный располагаемый доход. Конечное потребление. Валовое накопление. Сальдо внешней торговли.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Природно-ресурсный потенциал РФ. Классификация природных ресурсов.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Подходы к экономической оценке природных ресурсов. Обеспеченность РФ природными ресурсами и их размещение.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Геохимические узлы. Региональные различия в сочетаниях  природных ресурсов.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Проблемы воспроизводства и использования ресурсов современной России. Влияние глобализации на природно-ресурсный потенциал России.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Научно-технический потенциал, производственный потенциал РФ. Влияние НТП на развитие и размещение производительных сил.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Производственный потенциал национального хозяйства РФ и его размещение. Территориальные различия в обеспеченности производственного персонала основными фондами и в их использовании.  Проблемы технической реконструкции производств.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Трудовой потенциал. Количественные и качественные характеристики населения и трудовых ресурсов РФ. Особенности демографической ситуации в стране на современном этапе.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Распределение населения и трудовых ресурсов по территории РФ. Миграции населения, ее виды, причины и закономерности.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Формирование рынка труда. Проблемы полной и продуктивной занятости экономически активного населения. Анализ баланса трудовых ресурсов по регионам.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Научный и инновационный потенциал страны: структура, особенности размещения, проблемы развития. Особенности финансирования НТП в современных экономических условиях. Проблемы развития.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Отраслевая и территориальная структуры национальной экономики как звенья единого народнохозяйственного комплекса.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Характеристика отраслевой структуры экономики как соотношение, связи и пропорции между группами отраслей. Характеристика отраслевой структуры России в сравнении с зарубежными странами. Создание технопарков и </w:t>
      </w:r>
      <w:proofErr w:type="spellStart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технополисов</w:t>
      </w:r>
      <w:proofErr w:type="spellEnd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Состав и соотношение сфер экономики – сферы материального производства и непроизводственной. Сектора экономики.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Территориальная структура экономики – деление национальной экономики по отдельным территориальным образованиям: административно-хозяйственным, производственно-экономическим. Их различия по функциональному назначению.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Структура ТЭК и его уровень развития в сравнении с крупнейшими странами мира, странами ближнего зарубежья.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Значение топливно-энергетического комплекса и его районообразующее значение. Основные виды топливных ресурсов. Изменения в добыче и потреблении различных энергоносителей.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Топливный баланс и задачи его оптимизации на современном этапе и длительную перспективу. Изменения в структуре использования отдельных видов топлива.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Нефтяная, нефтеперерабатывающая, газовая, газоперерабатывающая, угольная промышленность: современные проблемы, ресурсная база, качество ресурсов, география отраслей.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Электроэнергетика: отраслевая структура, типы электростанций, факторы их размещения. Структура производства электроэнергии, проблемы развития отрасли.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Обрабатывающие производства в России. Современное развитие и размещение черной и цветной металлургии, деревообрабатывающих предприятий, переработки нефти, газа и химических продуктов,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Обрабатывающие производства в России. Современное развитие и размещение металлообработки и машиностроения, пищевого, текстильного и целлюлозно-бумажного производства, швейной и обувной промышленности, производства строительных материалов.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АПК России, его структура и роль в системе национального хозяйства. Структура сельскохозяйственного производства и его особенности.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Факторы, влияющие на развитие и размещение отраслей сельского хозяйства и его территориальную специализацию. Размещение важнейших отраслей растениеводства и животноводства по территории страны.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Особенности развития сельскохозяйственного производства в новых экономических условиях. Новые формы хозяйствования в АПК. Интенсификация сельскохозяйственного производства и ее основные направления.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Проблемы развития сельскохозяйственного производства и пути их решения в современных экономических условиях.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Сущность и структура ОПК. Значение ОПК для национальной экономики. Законодательные основы и структура органов управления оборонно-промышленным комплексом.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Государственная политика в области развития оборонно-промышленного комплекса. Выполнение государственной программы вооружения, государственного оборонного заказа и программ развития оборонной, атомной и ракетно-космической промышленности.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Современное состояние предприятий оборонно-промышленного комплекса. Государственная политика в области международного военно-технического сотрудничества.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Военно-экономический потенциал страны. Развитие научно-исследовательской деятельности в целях обеспечения стратегического военно-технического и оборонного планирования.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Государственная политика повышения конкурентоспособности военно-промышленной базы. Ведущие оборонные компании мира: корпоративные профили и конкурентные стратегии.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Понятие и структура инфраструктурного комплекса. География, экономическая оценка, перспективы развития комплекса. Коммуникационная система. Сфера обслуживания.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Виды сфер услуг. Размещение сферы услуг. Особенности рынка услуг в России. Деловой климат в сфере услуг в России. Динамика торговли услугами в России и за рубежом.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Крупнозональные</w:t>
      </w:r>
      <w:proofErr w:type="spellEnd"/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 комплексы народного хозяйства (Западная и Восточная зоны). Особенности развития экономики в прошлом и в перспективе.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Территориально-производственные комплексы (ТПК) как объекты государственного территориального регулирования. Виды ТПК, производственная структура, направленность специализации. Этапы формирования ТПК, создание новых промышленных узлов. Внутренние и межрайонные связи. Общая экономическая эффективность ТПК в целом и отдельных промышленных узлов.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Понятие «технопарки и </w:t>
      </w:r>
      <w:proofErr w:type="spellStart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технополисы</w:t>
      </w:r>
      <w:proofErr w:type="spellEnd"/>
      <w:r w:rsidRPr="002443EA">
        <w:rPr>
          <w:rFonts w:ascii="Times New Roman" w:eastAsia="Calibri" w:hAnsi="Times New Roman" w:cs="Times New Roman"/>
          <w:bCs/>
          <w:sz w:val="24"/>
          <w:szCs w:val="24"/>
        </w:rPr>
        <w:t>». Их география.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Хозяйственные блоки – кластеры как новая инновационная форма организации экономики.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Корпоративные образования в современной экономике. Виды особых экономических зон, условия их создания.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Органы власти, осуществляющие регулирование экономики. Структура управления. Функции и методы государственного управления. Принципы организации органов государственной власти.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Сущность государственной экономической политики. Методы и инструменты реализации государственной экономической политики.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Бюджетно-налоговая система страны.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Прогнозирование и планирование социально-экономических процессов в стране. Стратегические документы.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Современное программирование. Целевая комплексная программа. Механизм реализации программы. Критерии оценки программы. Цели программы. Оценки вариантов программы.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Национальная экономическая безопасность. Закон Российской Федерации «О безопасности». Антикризисные меры Правительства РФ на 2017 год.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Угрозы экономической безопасности. Концепция национальной экономической безопасности России.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Потребность в безопасности. Принципы национальной экономической безопасности. Задачи национальной экономической безопасности.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Критерии и параметры состояния экономики, отвечающие требованиям экономической безопасности. Механизм обеспечения экономической безопасности.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Национальная экономическая безопасность и мирохозяйственная стратегия России в современных условиях.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Целесообразность экономической интеграции РФ и других стран ближнего зарубежья в единое экономическое пространство. Возможности взаимодействия экономики РФ и мирового хозяйства.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Оценка перспектив изменения места и роли России в мировой экономике. Региональные и отраслевые объединения стран мира и отношение России с ними (ЕЭС, СНГ, АТЭС, ОПЕК, всемирная торговая организация (ВТО)).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Формы международных экономических связей: международная торговля, производственное сотрудничество, научно-техническое сотрудничество, вывоз капитала, инвестиции, кредитно-финансовые отношения, международный туризм. 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>Влияние международных экономических отношений на сохранение политической стабильности в мире. Влияние внешнеэкономических связей на развитие и размещение производительных сил России.</w:t>
      </w:r>
    </w:p>
    <w:p w:rsidR="00A01D71" w:rsidRPr="002443EA" w:rsidRDefault="00A01D71" w:rsidP="00A01D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3EA">
        <w:rPr>
          <w:rFonts w:ascii="Times New Roman" w:eastAsia="Calibri" w:hAnsi="Times New Roman" w:cs="Times New Roman"/>
          <w:bCs/>
          <w:sz w:val="24"/>
          <w:szCs w:val="24"/>
        </w:rPr>
        <w:t xml:space="preserve"> Теневая экономика и ее влияние на экономическую безопасность государства. Коррупция и экономическая безопасность государства.</w:t>
      </w:r>
    </w:p>
    <w:p w:rsidR="00A01D71" w:rsidRDefault="00A01D71" w:rsidP="00A01D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5"/>
        <w:gridCol w:w="5259"/>
        <w:gridCol w:w="3205"/>
        <w:gridCol w:w="70"/>
      </w:tblGrid>
      <w:tr w:rsidR="00D80B55" w:rsidTr="005F378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0B55" w:rsidRDefault="00D80B55" w:rsidP="005F378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Рекомендуемая основная учебно-методическая  литература</w:t>
            </w:r>
          </w:p>
        </w:tc>
      </w:tr>
      <w:tr w:rsidR="00D80B55" w:rsidTr="005F3784">
        <w:trPr>
          <w:trHeight w:hRule="exact" w:val="138"/>
        </w:trPr>
        <w:tc>
          <w:tcPr>
            <w:tcW w:w="852" w:type="dxa"/>
          </w:tcPr>
          <w:p w:rsidR="00D80B55" w:rsidRDefault="00D80B55" w:rsidP="005F3784"/>
        </w:tc>
        <w:tc>
          <w:tcPr>
            <w:tcW w:w="5246" w:type="dxa"/>
          </w:tcPr>
          <w:p w:rsidR="00D80B55" w:rsidRDefault="00D80B55" w:rsidP="005F3784"/>
        </w:tc>
        <w:tc>
          <w:tcPr>
            <w:tcW w:w="3205" w:type="dxa"/>
          </w:tcPr>
          <w:p w:rsidR="00D80B55" w:rsidRDefault="00D80B55" w:rsidP="005F3784"/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446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Васильев,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Холоденко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Экономика [Электронный ресурс]:Учебник и практикум. - Москва: Издательство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2019. - 297 – Режим доступа: https://www.biblio-online.ru/bcode/437166</w:t>
            </w:r>
          </w:p>
          <w:p w:rsidR="00D80B55" w:rsidRPr="00D80B55" w:rsidRDefault="00D80B55" w:rsidP="005F37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:rsidR="00D80B55" w:rsidRP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  <w:lang w:val="en-US"/>
              </w:rPr>
            </w:pP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45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Кокурин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Экономика России. Инфраструктура [Электронный ресурс]:Учебник. - Москва: Издательство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2019. - 277 – Режим доступа: https://www.biblio-online.ru/bcode/430917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45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Шимко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Экономика [Электронный ресурс]:Учебник и практикум. - Москва: Издательство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2019. - 461 – Режим доступа: https://www.biblio-online.ru/bcode/431931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138"/>
        </w:trPr>
        <w:tc>
          <w:tcPr>
            <w:tcW w:w="852" w:type="dxa"/>
          </w:tcPr>
          <w:p w:rsidR="00D80B55" w:rsidRDefault="00D80B55" w:rsidP="005F3784"/>
        </w:tc>
        <w:tc>
          <w:tcPr>
            <w:tcW w:w="5246" w:type="dxa"/>
          </w:tcPr>
          <w:p w:rsidR="00D80B55" w:rsidRDefault="00D80B55" w:rsidP="005F3784"/>
        </w:tc>
        <w:tc>
          <w:tcPr>
            <w:tcW w:w="3205" w:type="dxa"/>
          </w:tcPr>
          <w:p w:rsidR="00D80B55" w:rsidRDefault="00D80B55" w:rsidP="005F3784"/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0B55" w:rsidRDefault="00D80B55" w:rsidP="005F378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Рекомендуемая дополнительная учебно-методическая литература</w:t>
            </w:r>
          </w:p>
        </w:tc>
      </w:tr>
      <w:tr w:rsidR="00D80B55" w:rsidTr="005F3784">
        <w:trPr>
          <w:trHeight w:hRule="exact" w:val="138"/>
        </w:trPr>
        <w:tc>
          <w:tcPr>
            <w:tcW w:w="852" w:type="dxa"/>
          </w:tcPr>
          <w:p w:rsidR="00D80B55" w:rsidRDefault="00D80B55" w:rsidP="005F3784"/>
        </w:tc>
        <w:tc>
          <w:tcPr>
            <w:tcW w:w="5246" w:type="dxa"/>
          </w:tcPr>
          <w:p w:rsidR="00D80B55" w:rsidRDefault="00D80B55" w:rsidP="005F3784"/>
        </w:tc>
        <w:tc>
          <w:tcPr>
            <w:tcW w:w="3205" w:type="dxa"/>
          </w:tcPr>
          <w:p w:rsidR="00D80B55" w:rsidRDefault="00D80B55" w:rsidP="005F3784"/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270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7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4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Пищулов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Вагнер, Соколова,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Боровских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Самарская, Черезова Экономика [Электронный ресурс]:Учебник и практикум. - Москва: Издательство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2019. - 179 – Режим доступа: https://www.biblio-online.ru/bcode/437464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666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/>
        </w:tc>
        <w:tc>
          <w:tcPr>
            <w:tcW w:w="84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/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 [Электронный ресурс]:Курс лекций. - Новосибирск: Новосибирский государственный университет экономики и управления «НИНХ», 2017. - 199 с. – Режим доступа: http://www.iprbookshop.ru/87180.html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45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Морозова Н. В., Васильева И. А. Экономика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России:практикум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[для 1 курса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экономического факультета]. - Чебоксары: Изд-во Чуваш. ун-та, 2017. - 100 с.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454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Морозова Н. В., Васильева И. А. Экономика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России:учебно-методическое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пособие [для 1 курса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направлению "Экономика"]. - Чебоксары: Изд-во Чуваш. ун-та, 2017. - 68с.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8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Борисов Экономика [Электронный ресурс]:Учебник и практикум. - Москва: Издательство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2018. - 383 – Режим доступа: http://www.biblio-online.ru/book/13E2B33A-FA69-4D05-A998- 4098FBBC1EAE</w:t>
            </w:r>
          </w:p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138"/>
        </w:trPr>
        <w:tc>
          <w:tcPr>
            <w:tcW w:w="852" w:type="dxa"/>
          </w:tcPr>
          <w:p w:rsidR="00D80B55" w:rsidRDefault="00D80B55" w:rsidP="005F3784"/>
        </w:tc>
        <w:tc>
          <w:tcPr>
            <w:tcW w:w="5246" w:type="dxa"/>
          </w:tcPr>
          <w:p w:rsidR="00D80B55" w:rsidRDefault="00D80B55" w:rsidP="005F3784"/>
        </w:tc>
        <w:tc>
          <w:tcPr>
            <w:tcW w:w="3205" w:type="dxa"/>
          </w:tcPr>
          <w:p w:rsidR="00D80B55" w:rsidRDefault="00D80B55" w:rsidP="005F3784"/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80B55" w:rsidRDefault="00D80B55" w:rsidP="005F378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рекомендуемых ресурсов открытого доступа, в том числе электронных образовательных ресурсов, сети «Интернет»</w:t>
            </w:r>
          </w:p>
        </w:tc>
      </w:tr>
      <w:tr w:rsidR="00D80B55" w:rsidTr="005F3784">
        <w:trPr>
          <w:trHeight w:hRule="exact" w:val="138"/>
        </w:trPr>
        <w:tc>
          <w:tcPr>
            <w:tcW w:w="852" w:type="dxa"/>
          </w:tcPr>
          <w:p w:rsidR="00D80B55" w:rsidRDefault="00D80B55" w:rsidP="005F3784"/>
        </w:tc>
        <w:tc>
          <w:tcPr>
            <w:tcW w:w="5246" w:type="dxa"/>
          </w:tcPr>
          <w:p w:rsidR="00D80B55" w:rsidRDefault="00D80B55" w:rsidP="005F3784"/>
        </w:tc>
        <w:tc>
          <w:tcPr>
            <w:tcW w:w="3205" w:type="dxa"/>
          </w:tcPr>
          <w:p w:rsidR="00D80B55" w:rsidRDefault="00D80B55" w:rsidP="005F3784"/>
        </w:tc>
        <w:tc>
          <w:tcPr>
            <w:tcW w:w="58" w:type="dxa"/>
          </w:tcPr>
          <w:p w:rsidR="00D80B55" w:rsidRDefault="00D80B55" w:rsidP="005F3784"/>
        </w:tc>
      </w:tr>
      <w:tr w:rsidR="00D80B55" w:rsidTr="005F3784">
        <w:trPr>
          <w:trHeight w:hRule="exact" w:val="97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Наименование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Ссылка на ресурс</w:t>
            </w:r>
          </w:p>
        </w:tc>
      </w:tr>
      <w:tr w:rsidR="00D80B55" w:rsidTr="005F3784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Единое окно к образовательным ресурсам- Текст: электронный. – URL:http://window.edu.ru</w:t>
            </w:r>
          </w:p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(дата обращения: 05.06.2020).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http://window.edu.ru</w:t>
            </w:r>
          </w:p>
        </w:tc>
      </w:tr>
      <w:tr w:rsidR="00D80B55" w:rsidTr="005F3784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государственная библиотека - Текст: электронный. – URL:http://www.rsl.ru</w:t>
            </w:r>
          </w:p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(дата обращения: 05.06.2020).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http://www.rsl.ru</w:t>
            </w:r>
          </w:p>
        </w:tc>
      </w:tr>
    </w:tbl>
    <w:p w:rsidR="00D80B55" w:rsidRDefault="00D80B55" w:rsidP="00D80B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5"/>
        <w:gridCol w:w="5259"/>
        <w:gridCol w:w="3275"/>
      </w:tblGrid>
      <w:tr w:rsidR="00D80B55" w:rsidTr="005F3784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Российская национальная библиотека - Текст: электронный. – URL:http://www.nlr.ru</w:t>
            </w:r>
          </w:p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(дата обращения: 05.06.2020).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http://www.nlr.ru</w:t>
            </w:r>
          </w:p>
        </w:tc>
      </w:tr>
      <w:tr w:rsidR="00D80B55" w:rsidTr="005F3784">
        <w:trPr>
          <w:trHeight w:hRule="exact" w:val="89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Министерство экономического развития Российской Федерации - Текст: электронный. – URL:http://www.economy.gov.ru/</w:t>
            </w:r>
          </w:p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(дата обращения: 05.06.2020).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http://www.economy.gov.ru/</w:t>
            </w:r>
          </w:p>
        </w:tc>
      </w:tr>
      <w:tr w:rsidR="00D80B55" w:rsidTr="005F3784">
        <w:trPr>
          <w:trHeight w:hRule="exact" w:val="89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ассоциация институциональных исследований - Текст: электронный. – URL:http://institutional.narod.ru/</w:t>
            </w:r>
          </w:p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(дата обращения: 05.06.2020).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http://institutional.narod.ru/</w:t>
            </w:r>
          </w:p>
        </w:tc>
      </w:tr>
      <w:tr w:rsidR="00D80B55" w:rsidTr="005F3784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 Экономическое возрождение России - Текст: электронный. – URL:http://e-v-r.ru/</w:t>
            </w:r>
          </w:p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(дата обращения: 05.06.2020).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0B55" w:rsidRDefault="00D80B55" w:rsidP="005F378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http://e-v-r.ru/</w:t>
            </w:r>
          </w:p>
        </w:tc>
      </w:tr>
    </w:tbl>
    <w:p w:rsidR="00D80B55" w:rsidRPr="00D80B55" w:rsidRDefault="00D80B55" w:rsidP="00A01D71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val="en-US"/>
        </w:rPr>
      </w:pPr>
    </w:p>
    <w:p w:rsidR="00A01D71" w:rsidRPr="0098335D" w:rsidRDefault="00A01D71" w:rsidP="00A01D71">
      <w:pPr>
        <w:spacing w:after="120" w:line="240" w:lineRule="auto"/>
        <w:rPr>
          <w:rFonts w:ascii="Times New Roman" w:hAnsi="Times New Roman" w:cs="Times New Roman"/>
        </w:rPr>
      </w:pPr>
    </w:p>
    <w:sectPr w:rsidR="00A01D71" w:rsidRPr="0098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E6D"/>
    <w:multiLevelType w:val="hybridMultilevel"/>
    <w:tmpl w:val="222C6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98335D"/>
    <w:rsid w:val="007624F0"/>
    <w:rsid w:val="0098335D"/>
    <w:rsid w:val="00A01D71"/>
    <w:rsid w:val="00C86451"/>
    <w:rsid w:val="00D247C5"/>
    <w:rsid w:val="00D80B55"/>
    <w:rsid w:val="00DB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624F0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 Знак Знак3 Знак Знак Знак Знак Знак Знак Знак Знак Знак Знак"/>
    <w:basedOn w:val="a"/>
    <w:rsid w:val="007624F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624F0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a3">
    <w:name w:val="Plain Text"/>
    <w:basedOn w:val="a"/>
    <w:link w:val="a4"/>
    <w:rsid w:val="007624F0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a4">
    <w:name w:val="Текст Знак"/>
    <w:basedOn w:val="a0"/>
    <w:link w:val="a3"/>
    <w:rsid w:val="007624F0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2546</Words>
  <Characters>14516</Characters>
  <Application>Microsoft Office Word</Application>
  <DocSecurity>0</DocSecurity>
  <Lines>120</Lines>
  <Paragraphs>34</Paragraphs>
  <ScaleCrop>false</ScaleCrop>
  <Company/>
  <LinksUpToDate>false</LinksUpToDate>
  <CharactersWithSpaces>17028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2023-02-26T14:51:00Z</dcterms:created>
  <dcterms:modified xsi:type="dcterms:W3CDTF">2023-02-26T15:53:00Z</dcterms:modified>
</cp:coreProperties>
</file>